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楷体" w:hAnsi="楷体" w:eastAsia="楷体"/>
          <w:b/>
          <w:kern w:val="0"/>
          <w:sz w:val="36"/>
          <w:szCs w:val="36"/>
          <w:lang w:val="en-US" w:eastAsia="zh-CN"/>
        </w:rPr>
      </w:pPr>
      <w:r>
        <w:rPr>
          <w:rFonts w:hint="eastAsia" w:ascii="楷体" w:hAnsi="楷体" w:eastAsia="楷体"/>
          <w:b/>
          <w:kern w:val="0"/>
          <w:sz w:val="36"/>
          <w:szCs w:val="36"/>
          <w:lang w:val="en-US" w:eastAsia="zh-CN"/>
        </w:rPr>
        <w:t>关于调整</w:t>
      </w:r>
      <w:r>
        <w:rPr>
          <w:rFonts w:hint="eastAsia" w:ascii="楷体" w:hAnsi="楷体" w:eastAsia="楷体"/>
          <w:b/>
          <w:kern w:val="0"/>
          <w:sz w:val="36"/>
          <w:szCs w:val="36"/>
        </w:rPr>
        <w:t>“苏银理财恒源</w:t>
      </w:r>
      <w:r>
        <w:rPr>
          <w:rFonts w:hint="eastAsia" w:ascii="楷体" w:hAnsi="楷体" w:eastAsia="楷体"/>
          <w:b/>
          <w:kern w:val="0"/>
          <w:sz w:val="36"/>
          <w:szCs w:val="36"/>
          <w:lang w:val="en-US" w:eastAsia="zh-CN"/>
        </w:rPr>
        <w:t>日申季持1号</w:t>
      </w:r>
      <w:r>
        <w:rPr>
          <w:rFonts w:hint="eastAsia" w:ascii="楷体" w:hAnsi="楷体" w:eastAsia="楷体"/>
          <w:b/>
          <w:kern w:val="0"/>
          <w:sz w:val="36"/>
          <w:szCs w:val="36"/>
        </w:rPr>
        <w:t>”理财产品</w:t>
      </w:r>
      <w:r>
        <w:rPr>
          <w:rFonts w:hint="eastAsia" w:ascii="楷体" w:hAnsi="楷体" w:eastAsia="楷体"/>
          <w:b/>
          <w:kern w:val="0"/>
          <w:sz w:val="36"/>
          <w:szCs w:val="36"/>
          <w:lang w:val="en-US" w:eastAsia="zh-CN"/>
        </w:rPr>
        <w:t>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312" w:afterLines="10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lang w:val="en-US" w:eastAsia="zh-CN"/>
        </w:rPr>
        <w:t>根据投资运作情况</w:t>
      </w:r>
      <w:r>
        <w:rPr>
          <w:rFonts w:hint="eastAsia" w:ascii="楷体" w:hAnsi="楷体" w:eastAsia="楷体" w:cs="Times New Roman"/>
          <w:sz w:val="28"/>
          <w:szCs w:val="28"/>
        </w:rPr>
        <w:t>，管理人自202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日起，对“苏银理财恒源日申季持1号”理财产品</w:t>
      </w:r>
      <w:r>
        <w:rPr>
          <w:rFonts w:hint="eastAsia" w:ascii="楷体" w:hAnsi="楷体" w:eastAsia="楷体" w:cs="Times New Roman"/>
          <w:sz w:val="28"/>
          <w:szCs w:val="28"/>
          <w:lang w:val="en-US" w:eastAsia="zh-CN"/>
        </w:rPr>
        <w:t>的业绩比较基准</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超额业绩报酬计提基准进行调整（</w:t>
      </w:r>
      <w:r>
        <w:rPr>
          <w:rFonts w:hint="eastAsia" w:ascii="楷体" w:hAnsi="楷体" w:eastAsia="楷体" w:cs="Times New Roman"/>
          <w:sz w:val="28"/>
          <w:szCs w:val="28"/>
        </w:rPr>
        <w:t>业绩比较基准</w:t>
      </w:r>
      <w:r>
        <w:rPr>
          <w:rFonts w:hint="eastAsia" w:ascii="楷体" w:hAnsi="楷体" w:eastAsia="楷体" w:cs="Times New Roman"/>
          <w:sz w:val="28"/>
          <w:szCs w:val="28"/>
          <w:lang w:val="en-US" w:eastAsia="zh-CN"/>
        </w:rPr>
        <w:t>为管理人</w:t>
      </w:r>
      <w:r>
        <w:rPr>
          <w:rFonts w:hint="eastAsia" w:ascii="楷体" w:hAnsi="楷体" w:eastAsia="楷体" w:cs="Times New Roman"/>
          <w:sz w:val="28"/>
          <w:szCs w:val="28"/>
        </w:rPr>
        <w:t>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lang w:val="en-US" w:eastAsia="zh-CN"/>
        </w:rPr>
        <w:t>）。具体安排如下</w:t>
      </w:r>
      <w:r>
        <w:rPr>
          <w:rFonts w:hint="eastAsia" w:ascii="楷体" w:hAnsi="楷体" w:eastAsia="楷体" w:cs="Times New Roman"/>
          <w:sz w:val="28"/>
          <w:szCs w:val="28"/>
        </w:rPr>
        <w:t>：</w:t>
      </w:r>
    </w:p>
    <w:tbl>
      <w:tblPr>
        <w:tblStyle w:val="13"/>
        <w:tblW w:w="57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1"/>
        <w:gridCol w:w="1698"/>
        <w:gridCol w:w="1632"/>
        <w:gridCol w:w="1620"/>
        <w:gridCol w:w="1410"/>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14"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销售简称</w:t>
            </w:r>
          </w:p>
        </w:tc>
        <w:tc>
          <w:tcPr>
            <w:tcW w:w="856"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销售代码</w:t>
            </w:r>
          </w:p>
        </w:tc>
        <w:tc>
          <w:tcPr>
            <w:tcW w:w="1639"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业绩比较基准（年化）</w:t>
            </w:r>
          </w:p>
        </w:tc>
        <w:tc>
          <w:tcPr>
            <w:tcW w:w="1389"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rPr>
            </w:pPr>
            <w:r>
              <w:rPr>
                <w:rFonts w:hint="eastAsia" w:ascii="楷体" w:hAnsi="楷体" w:eastAsia="楷体" w:cs="Times New Roman"/>
                <w:sz w:val="24"/>
                <w:szCs w:val="24"/>
                <w:lang w:val="en-US" w:eastAsia="zh-CN"/>
              </w:rPr>
              <w:t xml:space="preserve">超额报酬计提基准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14" w:type="pct"/>
            <w:vMerge w:val="continue"/>
            <w:noWrap w:val="0"/>
            <w:vAlign w:val="center"/>
          </w:tcPr>
          <w:p>
            <w:pPr>
              <w:pStyle w:val="11"/>
              <w:spacing w:before="0" w:beforeAutospacing="0" w:after="0" w:afterAutospacing="0" w:line="400" w:lineRule="exact"/>
              <w:jc w:val="center"/>
              <w:rPr>
                <w:sz w:val="22"/>
                <w:szCs w:val="22"/>
              </w:rPr>
            </w:pPr>
          </w:p>
        </w:tc>
        <w:tc>
          <w:tcPr>
            <w:tcW w:w="856" w:type="pct"/>
            <w:vMerge w:val="continue"/>
            <w:noWrap w:val="0"/>
            <w:vAlign w:val="center"/>
          </w:tcPr>
          <w:p>
            <w:pPr>
              <w:pStyle w:val="11"/>
              <w:spacing w:before="0" w:beforeAutospacing="0" w:after="0" w:afterAutospacing="0" w:line="400" w:lineRule="exact"/>
              <w:jc w:val="center"/>
              <w:rPr>
                <w:sz w:val="22"/>
                <w:szCs w:val="22"/>
              </w:rPr>
            </w:pP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c>
          <w:tcPr>
            <w:tcW w:w="71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67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苏银理财恒源日申季持1号F</w:t>
            </w:r>
          </w:p>
        </w:tc>
        <w:tc>
          <w:tcPr>
            <w:tcW w:w="856"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J01977</w:t>
            </w: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2.10%-2.90%</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1.90%-2.80%</w:t>
            </w:r>
          </w:p>
        </w:tc>
        <w:tc>
          <w:tcPr>
            <w:tcW w:w="710"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2.90%</w:t>
            </w:r>
          </w:p>
        </w:tc>
        <w:tc>
          <w:tcPr>
            <w:tcW w:w="67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苏银理财恒源日申季持1号G</w:t>
            </w:r>
          </w:p>
        </w:tc>
        <w:tc>
          <w:tcPr>
            <w:tcW w:w="856" w:type="pct"/>
            <w:noWrap w:val="0"/>
            <w:vAlign w:val="center"/>
          </w:tcPr>
          <w:p>
            <w:pPr>
              <w:pStyle w:val="11"/>
              <w:spacing w:before="0" w:beforeAutospacing="0" w:after="0" w:afterAutospacing="0" w:line="400" w:lineRule="exact"/>
              <w:jc w:val="center"/>
              <w:rPr>
                <w:rFonts w:ascii="楷体" w:hAnsi="楷体" w:eastAsia="楷体" w:cs="Times New Roman"/>
                <w:sz w:val="24"/>
                <w:szCs w:val="24"/>
              </w:rPr>
            </w:pPr>
            <w:r>
              <w:rPr>
                <w:rFonts w:hint="eastAsia" w:ascii="楷体" w:hAnsi="楷体" w:eastAsia="楷体" w:cs="Times New Roman"/>
                <w:sz w:val="24"/>
                <w:szCs w:val="24"/>
                <w:lang w:val="en-US" w:eastAsia="zh-CN"/>
              </w:rPr>
              <w:t>J02228</w:t>
            </w: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2.25%-3.05%</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2.05%-2.95%</w:t>
            </w:r>
          </w:p>
        </w:tc>
        <w:tc>
          <w:tcPr>
            <w:tcW w:w="710"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3.05%</w:t>
            </w:r>
          </w:p>
        </w:tc>
        <w:tc>
          <w:tcPr>
            <w:tcW w:w="67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苏银理财恒源日申季持1号（芙蓉锦程·优选）</w:t>
            </w:r>
          </w:p>
        </w:tc>
        <w:tc>
          <w:tcPr>
            <w:tcW w:w="85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J03611</w:t>
            </w: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2.10%-2.90%</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1.90%-2.80%</w:t>
            </w:r>
          </w:p>
        </w:tc>
        <w:tc>
          <w:tcPr>
            <w:tcW w:w="710"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2.90%</w:t>
            </w:r>
          </w:p>
        </w:tc>
        <w:tc>
          <w:tcPr>
            <w:tcW w:w="678"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苏银理财恒源日申季持1号（北部湾银行专属）</w:t>
            </w:r>
          </w:p>
        </w:tc>
        <w:tc>
          <w:tcPr>
            <w:tcW w:w="85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J03830</w:t>
            </w: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2.10%-2.90%</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1.90%-2.80%</w:t>
            </w:r>
          </w:p>
        </w:tc>
        <w:tc>
          <w:tcPr>
            <w:tcW w:w="710"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2.90%</w:t>
            </w:r>
          </w:p>
        </w:tc>
        <w:tc>
          <w:tcPr>
            <w:tcW w:w="678"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苏银理财恒源日申季持1号ZJ</w:t>
            </w:r>
          </w:p>
        </w:tc>
        <w:tc>
          <w:tcPr>
            <w:tcW w:w="85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J07599</w:t>
            </w: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2.30%-3.10%</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2.10%-3.00%</w:t>
            </w:r>
          </w:p>
        </w:tc>
        <w:tc>
          <w:tcPr>
            <w:tcW w:w="71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3.10%</w:t>
            </w:r>
          </w:p>
        </w:tc>
        <w:tc>
          <w:tcPr>
            <w:tcW w:w="67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3.00%</w:t>
            </w:r>
          </w:p>
        </w:tc>
      </w:tr>
    </w:tbl>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2025年10月10日及以后确认的份额适用调整后的业绩比较基准和超额报酬计提基准；2025年10月10日前已确认的份额，适用确认时原有的业绩比较基准和超额报酬计提基准。</w:t>
      </w:r>
    </w:p>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特此公告。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ascii="楷体" w:hAnsi="楷体" w:eastAsia="楷体"/>
          <w:kern w:val="0"/>
          <w:sz w:val="28"/>
          <w:szCs w:val="28"/>
        </w:rPr>
      </w:pPr>
      <w:r>
        <w:rPr>
          <w:rFonts w:hint="eastAsia" w:ascii="楷体" w:hAnsi="楷体" w:eastAsia="楷体" w:cs="Times New Roman"/>
          <w:sz w:val="28"/>
          <w:szCs w:val="28"/>
        </w:rPr>
        <w:t>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9</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29</w:t>
      </w:r>
      <w:bookmarkStart w:id="0" w:name="_GoBack"/>
      <w:bookmarkEnd w:id="0"/>
      <w:r>
        <w:rPr>
          <w:rFonts w:hint="eastAsia" w:ascii="楷体" w:hAnsi="楷体" w:eastAsia="楷体"/>
          <w:kern w:val="0"/>
          <w:sz w:val="28"/>
          <w:szCs w:val="28"/>
        </w:rPr>
        <w:t>日</w:t>
      </w:r>
    </w:p>
    <w:p>
      <w:pPr>
        <w:spacing w:line="520" w:lineRule="exact"/>
        <w:jc w:val="right"/>
        <w:rPr>
          <w:rFonts w:hint="eastAsia" w:ascii="楷体" w:hAnsi="楷体" w:eastAsia="楷体"/>
          <w:kern w:val="0"/>
          <w:sz w:val="24"/>
          <w:szCs w:val="24"/>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6A9"/>
    <w:rsid w:val="00093C11"/>
    <w:rsid w:val="00094631"/>
    <w:rsid w:val="00096382"/>
    <w:rsid w:val="0009795C"/>
    <w:rsid w:val="00097F80"/>
    <w:rsid w:val="000A2D2D"/>
    <w:rsid w:val="000A2E68"/>
    <w:rsid w:val="000A360D"/>
    <w:rsid w:val="000A45AB"/>
    <w:rsid w:val="000B0078"/>
    <w:rsid w:val="000B0690"/>
    <w:rsid w:val="000B153F"/>
    <w:rsid w:val="000B382A"/>
    <w:rsid w:val="000B3B58"/>
    <w:rsid w:val="000B3EFD"/>
    <w:rsid w:val="000B659B"/>
    <w:rsid w:val="000B6E9F"/>
    <w:rsid w:val="000B7D78"/>
    <w:rsid w:val="000C3DB1"/>
    <w:rsid w:val="000C54ED"/>
    <w:rsid w:val="000C5C02"/>
    <w:rsid w:val="000C6143"/>
    <w:rsid w:val="000C7382"/>
    <w:rsid w:val="000D2F69"/>
    <w:rsid w:val="000D35BD"/>
    <w:rsid w:val="000D71CF"/>
    <w:rsid w:val="000D7225"/>
    <w:rsid w:val="000D722C"/>
    <w:rsid w:val="000E0485"/>
    <w:rsid w:val="000E1951"/>
    <w:rsid w:val="000E2E7D"/>
    <w:rsid w:val="000E34F3"/>
    <w:rsid w:val="000E4205"/>
    <w:rsid w:val="000E478C"/>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40B25"/>
    <w:rsid w:val="00141D2B"/>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09C"/>
    <w:rsid w:val="00166B3A"/>
    <w:rsid w:val="00170099"/>
    <w:rsid w:val="00170194"/>
    <w:rsid w:val="00170927"/>
    <w:rsid w:val="0017092A"/>
    <w:rsid w:val="00170A6E"/>
    <w:rsid w:val="00172B90"/>
    <w:rsid w:val="00173409"/>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38B"/>
    <w:rsid w:val="001B2F76"/>
    <w:rsid w:val="001B2F82"/>
    <w:rsid w:val="001B396B"/>
    <w:rsid w:val="001B4B9C"/>
    <w:rsid w:val="001B72EB"/>
    <w:rsid w:val="001B7D0D"/>
    <w:rsid w:val="001C13E9"/>
    <w:rsid w:val="001C4148"/>
    <w:rsid w:val="001C78FF"/>
    <w:rsid w:val="001D0B29"/>
    <w:rsid w:val="001D1C27"/>
    <w:rsid w:val="001D2A8B"/>
    <w:rsid w:val="001D3246"/>
    <w:rsid w:val="001D48EE"/>
    <w:rsid w:val="001D49AC"/>
    <w:rsid w:val="001D4BC9"/>
    <w:rsid w:val="001D4FE1"/>
    <w:rsid w:val="001D5204"/>
    <w:rsid w:val="001D78FF"/>
    <w:rsid w:val="001E0062"/>
    <w:rsid w:val="001E0387"/>
    <w:rsid w:val="001E20D9"/>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D7D4D"/>
    <w:rsid w:val="002E1382"/>
    <w:rsid w:val="002E606F"/>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5FEE"/>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0DB3"/>
    <w:rsid w:val="0033166C"/>
    <w:rsid w:val="0033358A"/>
    <w:rsid w:val="00333937"/>
    <w:rsid w:val="003342B8"/>
    <w:rsid w:val="0033504B"/>
    <w:rsid w:val="003362C7"/>
    <w:rsid w:val="00336A5A"/>
    <w:rsid w:val="00337AA0"/>
    <w:rsid w:val="00342ADB"/>
    <w:rsid w:val="00343B0F"/>
    <w:rsid w:val="00347006"/>
    <w:rsid w:val="00347D0D"/>
    <w:rsid w:val="003503AE"/>
    <w:rsid w:val="00351898"/>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17C3"/>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3DA7"/>
    <w:rsid w:val="00394C2C"/>
    <w:rsid w:val="00395441"/>
    <w:rsid w:val="00396F85"/>
    <w:rsid w:val="0039723A"/>
    <w:rsid w:val="003A01D0"/>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CBC"/>
    <w:rsid w:val="00427CC0"/>
    <w:rsid w:val="0043002F"/>
    <w:rsid w:val="004303B3"/>
    <w:rsid w:val="00430927"/>
    <w:rsid w:val="0043308A"/>
    <w:rsid w:val="00433113"/>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169"/>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2EDB"/>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1B1"/>
    <w:rsid w:val="004D73A7"/>
    <w:rsid w:val="004D7BA3"/>
    <w:rsid w:val="004E3C6A"/>
    <w:rsid w:val="004E46B0"/>
    <w:rsid w:val="004E645B"/>
    <w:rsid w:val="004F3AC9"/>
    <w:rsid w:val="004F3E60"/>
    <w:rsid w:val="004F40EF"/>
    <w:rsid w:val="004F46F0"/>
    <w:rsid w:val="004F4F78"/>
    <w:rsid w:val="004F55EC"/>
    <w:rsid w:val="005013A2"/>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43E8"/>
    <w:rsid w:val="005266CB"/>
    <w:rsid w:val="00527FBD"/>
    <w:rsid w:val="0053069A"/>
    <w:rsid w:val="005308B0"/>
    <w:rsid w:val="0053444E"/>
    <w:rsid w:val="00534A35"/>
    <w:rsid w:val="00534ABB"/>
    <w:rsid w:val="0053510C"/>
    <w:rsid w:val="005362B4"/>
    <w:rsid w:val="0053633A"/>
    <w:rsid w:val="00536E3A"/>
    <w:rsid w:val="005400DC"/>
    <w:rsid w:val="00542CCA"/>
    <w:rsid w:val="0054309D"/>
    <w:rsid w:val="005436F3"/>
    <w:rsid w:val="00544451"/>
    <w:rsid w:val="005449D5"/>
    <w:rsid w:val="00544A6C"/>
    <w:rsid w:val="00551427"/>
    <w:rsid w:val="00551C0A"/>
    <w:rsid w:val="00551D45"/>
    <w:rsid w:val="005533EE"/>
    <w:rsid w:val="00554430"/>
    <w:rsid w:val="005554DE"/>
    <w:rsid w:val="00555858"/>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863AA"/>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92C"/>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3754"/>
    <w:rsid w:val="00635E85"/>
    <w:rsid w:val="006371FF"/>
    <w:rsid w:val="006436A7"/>
    <w:rsid w:val="00643DD9"/>
    <w:rsid w:val="00644A75"/>
    <w:rsid w:val="006472A0"/>
    <w:rsid w:val="0064770E"/>
    <w:rsid w:val="00651512"/>
    <w:rsid w:val="00654956"/>
    <w:rsid w:val="00654DE7"/>
    <w:rsid w:val="0065533C"/>
    <w:rsid w:val="00656A9D"/>
    <w:rsid w:val="00656F5E"/>
    <w:rsid w:val="00662CBC"/>
    <w:rsid w:val="0066783E"/>
    <w:rsid w:val="006700A9"/>
    <w:rsid w:val="0067038D"/>
    <w:rsid w:val="00670675"/>
    <w:rsid w:val="00671A6A"/>
    <w:rsid w:val="00673F0C"/>
    <w:rsid w:val="00676A38"/>
    <w:rsid w:val="00680098"/>
    <w:rsid w:val="00680957"/>
    <w:rsid w:val="00682CFC"/>
    <w:rsid w:val="00683B13"/>
    <w:rsid w:val="00686216"/>
    <w:rsid w:val="00686325"/>
    <w:rsid w:val="00686EC4"/>
    <w:rsid w:val="00687063"/>
    <w:rsid w:val="00691425"/>
    <w:rsid w:val="00693207"/>
    <w:rsid w:val="00695E17"/>
    <w:rsid w:val="00696763"/>
    <w:rsid w:val="00696D1D"/>
    <w:rsid w:val="0069734A"/>
    <w:rsid w:val="006A139A"/>
    <w:rsid w:val="006A1939"/>
    <w:rsid w:val="006A303A"/>
    <w:rsid w:val="006A3E8F"/>
    <w:rsid w:val="006A4427"/>
    <w:rsid w:val="006A45A4"/>
    <w:rsid w:val="006A45AE"/>
    <w:rsid w:val="006A5C3E"/>
    <w:rsid w:val="006B0367"/>
    <w:rsid w:val="006B147C"/>
    <w:rsid w:val="006B1E00"/>
    <w:rsid w:val="006B202A"/>
    <w:rsid w:val="006B3A3C"/>
    <w:rsid w:val="006B4802"/>
    <w:rsid w:val="006B4CE2"/>
    <w:rsid w:val="006B5097"/>
    <w:rsid w:val="006B5516"/>
    <w:rsid w:val="006B5D36"/>
    <w:rsid w:val="006B5E7D"/>
    <w:rsid w:val="006B6377"/>
    <w:rsid w:val="006B7A09"/>
    <w:rsid w:val="006C42CE"/>
    <w:rsid w:val="006C51DA"/>
    <w:rsid w:val="006C5486"/>
    <w:rsid w:val="006C592D"/>
    <w:rsid w:val="006C5D93"/>
    <w:rsid w:val="006C74B3"/>
    <w:rsid w:val="006D209C"/>
    <w:rsid w:val="006D3791"/>
    <w:rsid w:val="006D465F"/>
    <w:rsid w:val="006D46A6"/>
    <w:rsid w:val="006D4B56"/>
    <w:rsid w:val="006D7209"/>
    <w:rsid w:val="006E02E0"/>
    <w:rsid w:val="006E11C9"/>
    <w:rsid w:val="006E31AE"/>
    <w:rsid w:val="006E4984"/>
    <w:rsid w:val="006E5DEE"/>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7CE"/>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5F80"/>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15F"/>
    <w:rsid w:val="007D4C02"/>
    <w:rsid w:val="007D5920"/>
    <w:rsid w:val="007D6496"/>
    <w:rsid w:val="007D6731"/>
    <w:rsid w:val="007D6837"/>
    <w:rsid w:val="007D7001"/>
    <w:rsid w:val="007D782F"/>
    <w:rsid w:val="007D7E87"/>
    <w:rsid w:val="007E1666"/>
    <w:rsid w:val="007E1ECC"/>
    <w:rsid w:val="007E2A09"/>
    <w:rsid w:val="007E40DD"/>
    <w:rsid w:val="007E49F3"/>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FBA"/>
    <w:rsid w:val="00806655"/>
    <w:rsid w:val="00806B2A"/>
    <w:rsid w:val="008071EA"/>
    <w:rsid w:val="00810DA4"/>
    <w:rsid w:val="008119FA"/>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6986"/>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0471"/>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4FB7"/>
    <w:rsid w:val="008E55EA"/>
    <w:rsid w:val="008E5926"/>
    <w:rsid w:val="008E75C5"/>
    <w:rsid w:val="008E7887"/>
    <w:rsid w:val="008E7E6E"/>
    <w:rsid w:val="008F1194"/>
    <w:rsid w:val="008F1884"/>
    <w:rsid w:val="008F237A"/>
    <w:rsid w:val="008F2796"/>
    <w:rsid w:val="008F34D3"/>
    <w:rsid w:val="008F5C59"/>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C6"/>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A0C"/>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39A0"/>
    <w:rsid w:val="009B45E7"/>
    <w:rsid w:val="009B473F"/>
    <w:rsid w:val="009B493A"/>
    <w:rsid w:val="009B4DE3"/>
    <w:rsid w:val="009B563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18D3"/>
    <w:rsid w:val="009E2925"/>
    <w:rsid w:val="009E409E"/>
    <w:rsid w:val="009E63C4"/>
    <w:rsid w:val="009E7131"/>
    <w:rsid w:val="009F0065"/>
    <w:rsid w:val="009F0651"/>
    <w:rsid w:val="009F0908"/>
    <w:rsid w:val="009F1BCB"/>
    <w:rsid w:val="009F229C"/>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1E23"/>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137D"/>
    <w:rsid w:val="00A84413"/>
    <w:rsid w:val="00A85069"/>
    <w:rsid w:val="00A851D3"/>
    <w:rsid w:val="00A85C99"/>
    <w:rsid w:val="00A86059"/>
    <w:rsid w:val="00A8682A"/>
    <w:rsid w:val="00A877EA"/>
    <w:rsid w:val="00A90434"/>
    <w:rsid w:val="00A90848"/>
    <w:rsid w:val="00A90D5D"/>
    <w:rsid w:val="00A919A8"/>
    <w:rsid w:val="00A926B3"/>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414"/>
    <w:rsid w:val="00AC71B2"/>
    <w:rsid w:val="00AD2F15"/>
    <w:rsid w:val="00AD34FD"/>
    <w:rsid w:val="00AD4224"/>
    <w:rsid w:val="00AD4E75"/>
    <w:rsid w:val="00AD6DC7"/>
    <w:rsid w:val="00AD74C8"/>
    <w:rsid w:val="00AE3181"/>
    <w:rsid w:val="00AE357C"/>
    <w:rsid w:val="00AE6795"/>
    <w:rsid w:val="00AE6ED6"/>
    <w:rsid w:val="00AE7EDF"/>
    <w:rsid w:val="00AF07F9"/>
    <w:rsid w:val="00AF165B"/>
    <w:rsid w:val="00AF16C9"/>
    <w:rsid w:val="00AF3257"/>
    <w:rsid w:val="00AF4186"/>
    <w:rsid w:val="00B01969"/>
    <w:rsid w:val="00B04BED"/>
    <w:rsid w:val="00B06EDD"/>
    <w:rsid w:val="00B075D7"/>
    <w:rsid w:val="00B10470"/>
    <w:rsid w:val="00B10AEC"/>
    <w:rsid w:val="00B12515"/>
    <w:rsid w:val="00B1367C"/>
    <w:rsid w:val="00B16963"/>
    <w:rsid w:val="00B2044E"/>
    <w:rsid w:val="00B20ED9"/>
    <w:rsid w:val="00B234B3"/>
    <w:rsid w:val="00B24FA2"/>
    <w:rsid w:val="00B27D31"/>
    <w:rsid w:val="00B30BB7"/>
    <w:rsid w:val="00B3130A"/>
    <w:rsid w:val="00B320FF"/>
    <w:rsid w:val="00B32B9E"/>
    <w:rsid w:val="00B32FB1"/>
    <w:rsid w:val="00B35AFE"/>
    <w:rsid w:val="00B3661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089"/>
    <w:rsid w:val="00B803D6"/>
    <w:rsid w:val="00B83257"/>
    <w:rsid w:val="00B85502"/>
    <w:rsid w:val="00B903E3"/>
    <w:rsid w:val="00B911C2"/>
    <w:rsid w:val="00B91DF8"/>
    <w:rsid w:val="00B93396"/>
    <w:rsid w:val="00B95300"/>
    <w:rsid w:val="00B9543E"/>
    <w:rsid w:val="00B9594C"/>
    <w:rsid w:val="00B96A97"/>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3345"/>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179D3"/>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87300"/>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203"/>
    <w:rsid w:val="00CF4841"/>
    <w:rsid w:val="00CF5493"/>
    <w:rsid w:val="00CF67D8"/>
    <w:rsid w:val="00CF694E"/>
    <w:rsid w:val="00CF6BF4"/>
    <w:rsid w:val="00CF7DE9"/>
    <w:rsid w:val="00D01398"/>
    <w:rsid w:val="00D0189D"/>
    <w:rsid w:val="00D039B6"/>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4106"/>
    <w:rsid w:val="00D802FD"/>
    <w:rsid w:val="00D8162D"/>
    <w:rsid w:val="00D869C5"/>
    <w:rsid w:val="00D932E1"/>
    <w:rsid w:val="00D937A6"/>
    <w:rsid w:val="00D94A5A"/>
    <w:rsid w:val="00D95166"/>
    <w:rsid w:val="00D9678E"/>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AC7"/>
    <w:rsid w:val="00DC0DBE"/>
    <w:rsid w:val="00DC429D"/>
    <w:rsid w:val="00DC553A"/>
    <w:rsid w:val="00DC6E17"/>
    <w:rsid w:val="00DC6F8F"/>
    <w:rsid w:val="00DC7BF3"/>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6CE9"/>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6D3A"/>
    <w:rsid w:val="00EC744B"/>
    <w:rsid w:val="00EC778D"/>
    <w:rsid w:val="00EC7B5A"/>
    <w:rsid w:val="00ED0894"/>
    <w:rsid w:val="00ED1573"/>
    <w:rsid w:val="00ED1966"/>
    <w:rsid w:val="00ED419B"/>
    <w:rsid w:val="00ED467F"/>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CC9"/>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4D5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0E13"/>
    <w:rsid w:val="0300371E"/>
    <w:rsid w:val="05C24554"/>
    <w:rsid w:val="07731EDA"/>
    <w:rsid w:val="099D0555"/>
    <w:rsid w:val="0BC63148"/>
    <w:rsid w:val="0DAF4280"/>
    <w:rsid w:val="0EF2196A"/>
    <w:rsid w:val="10E55ACF"/>
    <w:rsid w:val="10E71468"/>
    <w:rsid w:val="115C0484"/>
    <w:rsid w:val="116B46A6"/>
    <w:rsid w:val="15CF287D"/>
    <w:rsid w:val="1F461B9E"/>
    <w:rsid w:val="1F5F775F"/>
    <w:rsid w:val="1F6B7985"/>
    <w:rsid w:val="2610650A"/>
    <w:rsid w:val="29E17B68"/>
    <w:rsid w:val="2AC9613C"/>
    <w:rsid w:val="2D8E7D3E"/>
    <w:rsid w:val="2F52019A"/>
    <w:rsid w:val="2FBF00A4"/>
    <w:rsid w:val="32525E9A"/>
    <w:rsid w:val="34A56DF5"/>
    <w:rsid w:val="3860654B"/>
    <w:rsid w:val="393A2B5E"/>
    <w:rsid w:val="3ABF7DB8"/>
    <w:rsid w:val="3C0A34F3"/>
    <w:rsid w:val="3C1D5E8E"/>
    <w:rsid w:val="3F191995"/>
    <w:rsid w:val="3F1A7967"/>
    <w:rsid w:val="400B151C"/>
    <w:rsid w:val="44D23E4F"/>
    <w:rsid w:val="45EB52C6"/>
    <w:rsid w:val="462B4A43"/>
    <w:rsid w:val="47270B2F"/>
    <w:rsid w:val="4ADA4ACC"/>
    <w:rsid w:val="4C9A2129"/>
    <w:rsid w:val="4F40507F"/>
    <w:rsid w:val="537D605C"/>
    <w:rsid w:val="56AA0AA8"/>
    <w:rsid w:val="59C56020"/>
    <w:rsid w:val="59DD614A"/>
    <w:rsid w:val="5A4E1222"/>
    <w:rsid w:val="5AD6708B"/>
    <w:rsid w:val="610618C4"/>
    <w:rsid w:val="62556F19"/>
    <w:rsid w:val="631B51A6"/>
    <w:rsid w:val="654E3EDD"/>
    <w:rsid w:val="66133465"/>
    <w:rsid w:val="665824C7"/>
    <w:rsid w:val="67EC0F8F"/>
    <w:rsid w:val="68E321EE"/>
    <w:rsid w:val="69C04ABB"/>
    <w:rsid w:val="6ACE4D37"/>
    <w:rsid w:val="6B7A3958"/>
    <w:rsid w:val="6D1055A2"/>
    <w:rsid w:val="7396760B"/>
    <w:rsid w:val="74966354"/>
    <w:rsid w:val="77667C2A"/>
    <w:rsid w:val="77DF3C94"/>
    <w:rsid w:val="78C2373C"/>
    <w:rsid w:val="78D92B71"/>
    <w:rsid w:val="7EDE71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340</Words>
  <Characters>477</Characters>
  <Lines>3</Lines>
  <Paragraphs>1</Paragraphs>
  <TotalTime>5</TotalTime>
  <ScaleCrop>false</ScaleCrop>
  <LinksUpToDate>false</LinksUpToDate>
  <CharactersWithSpaces>477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2022-01-13T11:27:00Z</dcterms:created>
  <dc:creator>JSYH</dc:creator>
  <cp:lastModifiedBy>lhy</cp:lastModifiedBy>
  <cp:lastPrinted>2022-07-25T07:20:00Z</cp:lastPrinted>
  <dcterms:modified xsi:type="dcterms:W3CDTF">2025-09-29T06:53:52Z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EC7A5827C47B4B30A3CBF8876B58199A</vt:lpwstr>
  </property>
</Properties>
</file>